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21" w:rsidRPr="00406621" w:rsidRDefault="00406621" w:rsidP="0040662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b/>
          <w:color w:val="444444"/>
          <w:sz w:val="23"/>
          <w:szCs w:val="23"/>
          <w:lang w:eastAsia="ru-RU"/>
        </w:rPr>
        <w:t>Физическое развитие детей второй младшей группы.</w:t>
      </w:r>
    </w:p>
    <w:p w:rsidR="00406621" w:rsidRPr="00406621" w:rsidRDefault="00406621" w:rsidP="0040662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энергично отталкиваться двумя ногами и правильно призем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ляться в прыжках с высоты, на месте и с продвижением вперед; при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нимать правильное исходное положение в прыжках в длину и высоту с места; в метании мешочков с песком, мячей диаметром 15-20 см.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Закреплять умение энергично отталкивать мячи при катании, броса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нии. Продолжать учить ловить мяч двумя руками одновременно.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Обучать хвату за перекладину во время лазанья. Закреплять умение ползать.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сохранять правильную осанку в положениях сидя, стоя, в дви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жении, при выполнении упражнений в равновесии.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кататься на санках, садиться на трехколесный велосипед, ка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таться на нем и слезать с него.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детей надевать и снимать лыжи, ходить на них, ставить лыжи на место.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Учить реагировать на сигналы «беги», «лови», «стой» и др.; выпол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нять правила в подвижных играх.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Развивать самостоятельность и творчество при выполнении физичес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ких упражнений, в подвижных играх.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Подвижные игры. Развивать активность и творчество детей в процес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се двигательной деятельности. Организовывать игры с правилами.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Поощрять самостоятельные игры с каталками, автомобилями, теле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жками, велосипедами, мячами; шарами. Развивать навыки лазанья, пол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зания; ловкость, выразительность и красоту движений. Вводить в игры более сложные правила со сменой видов движений.</w:t>
      </w:r>
    </w:p>
    <w:p w:rsidR="00406621" w:rsidRPr="00406621" w:rsidRDefault="00406621" w:rsidP="00C77917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Воспитывать у детей умение соблюдать элементарные правила, со</w:t>
      </w: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softHyphen/>
        <w:t>гласовывать движения, ориентироваться в пространстве.</w:t>
      </w:r>
    </w:p>
    <w:p w:rsidR="00406621" w:rsidRPr="00406621" w:rsidRDefault="00406621" w:rsidP="0040662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406621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</w:t>
      </w:r>
    </w:p>
    <w:p w:rsidR="00583D7A" w:rsidRPr="00406621" w:rsidRDefault="00583D7A" w:rsidP="00406621">
      <w:bookmarkStart w:id="0" w:name="_GoBack"/>
      <w:bookmarkEnd w:id="0"/>
    </w:p>
    <w:sectPr w:rsidR="00583D7A" w:rsidRPr="0040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7"/>
    <w:rsid w:val="002A3CD1"/>
    <w:rsid w:val="00406621"/>
    <w:rsid w:val="00583D7A"/>
    <w:rsid w:val="00C460A7"/>
    <w:rsid w:val="00C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E92D"/>
  <w15:chartTrackingRefBased/>
  <w15:docId w15:val="{05EF450C-C7BB-418A-820A-FB3C92E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5</cp:revision>
  <dcterms:created xsi:type="dcterms:W3CDTF">2020-03-19T08:11:00Z</dcterms:created>
  <dcterms:modified xsi:type="dcterms:W3CDTF">2020-03-19T09:03:00Z</dcterms:modified>
</cp:coreProperties>
</file>